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50" w:type="dxa"/>
        <w:tblCellSpacing w:w="0" w:type="dxa"/>
        <w:tblBorders>
          <w:top w:val="single" w:sz="18" w:space="0" w:color="A52A2A"/>
          <w:bottom w:val="single" w:sz="18" w:space="0" w:color="A52A2A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20"/>
        <w:gridCol w:w="6030"/>
      </w:tblGrid>
      <w:tr w:rsidR="0020119C" w:rsidRPr="0020119C" w:rsidTr="0020119C">
        <w:trPr>
          <w:trHeight w:val="375"/>
          <w:tblCellSpacing w:w="0" w:type="dxa"/>
        </w:trPr>
        <w:tc>
          <w:tcPr>
            <w:tcW w:w="0" w:type="auto"/>
            <w:shd w:val="clear" w:color="auto" w:fill="E3E3E3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Postcode</w:t>
            </w:r>
          </w:p>
        </w:tc>
        <w:tc>
          <w:tcPr>
            <w:tcW w:w="0" w:type="auto"/>
            <w:shd w:val="clear" w:color="auto" w:fill="E3E3E3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3054</w:t>
            </w:r>
          </w:p>
        </w:tc>
      </w:tr>
      <w:tr w:rsidR="0020119C" w:rsidRPr="0020119C" w:rsidTr="0020119C">
        <w:trPr>
          <w:trHeight w:val="375"/>
          <w:tblCellSpacing w:w="0" w:type="dxa"/>
        </w:trPr>
        <w:tc>
          <w:tcPr>
            <w:tcW w:w="0" w:type="auto"/>
            <w:shd w:val="clear" w:color="auto" w:fill="FFFFFF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Suburb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Carlton North</w:t>
            </w:r>
          </w:p>
        </w:tc>
      </w:tr>
      <w:tr w:rsidR="0020119C" w:rsidRPr="0020119C" w:rsidTr="0020119C">
        <w:trPr>
          <w:trHeight w:val="375"/>
          <w:tblCellSpacing w:w="0" w:type="dxa"/>
        </w:trPr>
        <w:tc>
          <w:tcPr>
            <w:tcW w:w="0" w:type="auto"/>
            <w:shd w:val="clear" w:color="auto" w:fill="E3E3E3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Population size in 2011</w:t>
            </w:r>
          </w:p>
        </w:tc>
        <w:tc>
          <w:tcPr>
            <w:tcW w:w="0" w:type="auto"/>
            <w:shd w:val="clear" w:color="auto" w:fill="E3E3E3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6,220 People</w:t>
            </w:r>
          </w:p>
        </w:tc>
      </w:tr>
      <w:tr w:rsidR="0020119C" w:rsidRPr="0020119C" w:rsidTr="0020119C">
        <w:trPr>
          <w:trHeight w:val="375"/>
          <w:tblCellSpacing w:w="0" w:type="dxa"/>
        </w:trPr>
        <w:tc>
          <w:tcPr>
            <w:tcW w:w="0" w:type="auto"/>
            <w:shd w:val="clear" w:color="auto" w:fill="FFFFFF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Born in Australia (%)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73.41 %</w:t>
            </w:r>
          </w:p>
        </w:tc>
      </w:tr>
      <w:tr w:rsidR="0020119C" w:rsidRPr="0020119C" w:rsidTr="0020119C">
        <w:trPr>
          <w:trHeight w:val="375"/>
          <w:tblCellSpacing w:w="0" w:type="dxa"/>
        </w:trPr>
        <w:tc>
          <w:tcPr>
            <w:tcW w:w="0" w:type="auto"/>
            <w:gridSpan w:val="2"/>
            <w:shd w:val="clear" w:color="auto" w:fill="E3E3E3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Born Overseas - Top 5 (%)</w:t>
            </w:r>
          </w:p>
        </w:tc>
      </w:tr>
      <w:tr w:rsidR="0020119C" w:rsidRPr="0020119C" w:rsidTr="0020119C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1. United Kingdom Channel Islands and Isle of Man (4.70%)</w:t>
            </w:r>
          </w:p>
        </w:tc>
        <w:tc>
          <w:tcPr>
            <w:tcW w:w="0" w:type="auto"/>
            <w:vMerge w:val="restart"/>
            <w:shd w:val="clear" w:color="auto" w:fill="E3E3E3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7"/>
                <w:szCs w:val="17"/>
                <w:lang w:eastAsia="en-AU"/>
              </w:rPr>
              <w:drawing>
                <wp:inline distT="0" distB="0" distL="0" distR="0">
                  <wp:extent cx="1426845" cy="1189355"/>
                  <wp:effectExtent l="0" t="0" r="1905" b="0"/>
                  <wp:docPr id="6" name="Picture 6" descr="http://chart.apis.google.com/chart?cht=bvg&amp;chs=150x125&amp;chd=t:18.8,15.6,12.8,11.2,5.6&amp;chbh=15&amp;chf=bg,s,E3E3E3&amp;chxt=y,x&amp;chxl=0:|0|5|10|15|20|25|1:|1|2|3|4|5&amp;chtt=Born%20Overseas%20-%20Top%205%20(%25)&amp;chts=000000,12&amp;chco=00FF00|0000FF|FF0000|99FFFF|FF99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hart.apis.google.com/chart?cht=bvg&amp;chs=150x125&amp;chd=t:18.8,15.6,12.8,11.2,5.6&amp;chbh=15&amp;chf=bg,s,E3E3E3&amp;chxt=y,x&amp;chxl=0:|0|5|10|15|20|25|1:|1|2|3|4|5&amp;chtt=Born%20Overseas%20-%20Top%205%20(%25)&amp;chts=000000,12&amp;chco=00FF00|0000FF|FF0000|99FFFF|FF99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845" cy="1189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119C" w:rsidRPr="0020119C" w:rsidTr="0020119C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2. Born elsewhere (3.91%)</w:t>
            </w:r>
          </w:p>
        </w:tc>
        <w:tc>
          <w:tcPr>
            <w:tcW w:w="0" w:type="auto"/>
            <w:vMerge/>
            <w:shd w:val="clear" w:color="auto" w:fill="E3E3E3"/>
            <w:vAlign w:val="center"/>
            <w:hideMark/>
          </w:tcPr>
          <w:p w:rsidR="0020119C" w:rsidRPr="0020119C" w:rsidRDefault="0020119C" w:rsidP="0020119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20119C" w:rsidRPr="0020119C" w:rsidTr="0020119C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3. New Zealand (3.17%)</w:t>
            </w:r>
          </w:p>
        </w:tc>
        <w:tc>
          <w:tcPr>
            <w:tcW w:w="0" w:type="auto"/>
            <w:vMerge/>
            <w:shd w:val="clear" w:color="auto" w:fill="E3E3E3"/>
            <w:vAlign w:val="center"/>
            <w:hideMark/>
          </w:tcPr>
          <w:p w:rsidR="0020119C" w:rsidRPr="0020119C" w:rsidRDefault="0020119C" w:rsidP="0020119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20119C" w:rsidRPr="0020119C" w:rsidTr="0020119C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4. Italy (2.83%)</w:t>
            </w:r>
          </w:p>
        </w:tc>
        <w:tc>
          <w:tcPr>
            <w:tcW w:w="0" w:type="auto"/>
            <w:vMerge/>
            <w:shd w:val="clear" w:color="auto" w:fill="E3E3E3"/>
            <w:vAlign w:val="center"/>
            <w:hideMark/>
          </w:tcPr>
          <w:p w:rsidR="0020119C" w:rsidRPr="0020119C" w:rsidRDefault="0020119C" w:rsidP="0020119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20119C" w:rsidRPr="0020119C" w:rsidTr="0020119C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5. Malaysia (1.35%)</w:t>
            </w:r>
          </w:p>
        </w:tc>
        <w:tc>
          <w:tcPr>
            <w:tcW w:w="0" w:type="auto"/>
            <w:vMerge/>
            <w:shd w:val="clear" w:color="auto" w:fill="E3E3E3"/>
            <w:vAlign w:val="center"/>
            <w:hideMark/>
          </w:tcPr>
          <w:p w:rsidR="0020119C" w:rsidRPr="0020119C" w:rsidRDefault="0020119C" w:rsidP="0020119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20119C" w:rsidRPr="0020119C" w:rsidTr="0020119C">
        <w:trPr>
          <w:trHeight w:val="375"/>
          <w:tblCellSpacing w:w="0" w:type="dxa"/>
        </w:trPr>
        <w:tc>
          <w:tcPr>
            <w:tcW w:w="0" w:type="auto"/>
            <w:shd w:val="clear" w:color="auto" w:fill="FFFFFF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Age Median of People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31 Year old</w:t>
            </w:r>
          </w:p>
        </w:tc>
      </w:tr>
      <w:tr w:rsidR="0020119C" w:rsidRPr="0020119C" w:rsidTr="0020119C">
        <w:trPr>
          <w:trHeight w:val="375"/>
          <w:tblCellSpacing w:w="0" w:type="dxa"/>
        </w:trPr>
        <w:tc>
          <w:tcPr>
            <w:tcW w:w="0" w:type="auto"/>
            <w:gridSpan w:val="2"/>
            <w:shd w:val="clear" w:color="auto" w:fill="E3E3E3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Age Statistics (%)</w:t>
            </w:r>
          </w:p>
        </w:tc>
      </w:tr>
      <w:tr w:rsidR="0020119C" w:rsidRPr="0020119C" w:rsidTr="0020119C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1. 0 - 12 Years (9.29%)</w:t>
            </w:r>
          </w:p>
        </w:tc>
        <w:tc>
          <w:tcPr>
            <w:tcW w:w="0" w:type="auto"/>
            <w:vMerge w:val="restart"/>
            <w:shd w:val="clear" w:color="auto" w:fill="E3E3E3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7"/>
                <w:szCs w:val="17"/>
                <w:lang w:eastAsia="en-AU"/>
              </w:rPr>
              <w:drawing>
                <wp:inline distT="0" distB="0" distL="0" distR="0">
                  <wp:extent cx="1426845" cy="1189355"/>
                  <wp:effectExtent l="0" t="0" r="1905" b="0"/>
                  <wp:docPr id="5" name="Picture 5" descr="http://chart.apis.google.com/chart?cht=bvg&amp;chs=150x125&amp;chd=t:9.3,3.8,51.7,20.8,16.1&amp;chbh=15&amp;chf=bg,s,E3E3E3&amp;chxt=y,x&amp;chxl=0:|0|20|40|60|80|100|1:|1|2|3|4|5&amp;chtt=Age%20Statistics%20(%25)&amp;chts=000000,12&amp;chco=00FF00|0000FF|FF0000|99FFFF|FF99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chart.apis.google.com/chart?cht=bvg&amp;chs=150x125&amp;chd=t:9.3,3.8,51.7,20.8,16.1&amp;chbh=15&amp;chf=bg,s,E3E3E3&amp;chxt=y,x&amp;chxl=0:|0|20|40|60|80|100|1:|1|2|3|4|5&amp;chtt=Age%20Statistics%20(%25)&amp;chts=000000,12&amp;chco=00FF00|0000FF|FF0000|99FFFF|FF99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845" cy="1189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119C" w:rsidRPr="0020119C" w:rsidTr="0020119C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2. 13 - 19 Years (3.79%)</w:t>
            </w:r>
          </w:p>
        </w:tc>
        <w:tc>
          <w:tcPr>
            <w:tcW w:w="0" w:type="auto"/>
            <w:vMerge/>
            <w:shd w:val="clear" w:color="auto" w:fill="E3E3E3"/>
            <w:vAlign w:val="center"/>
            <w:hideMark/>
          </w:tcPr>
          <w:p w:rsidR="0020119C" w:rsidRPr="0020119C" w:rsidRDefault="0020119C" w:rsidP="0020119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20119C" w:rsidRPr="0020119C" w:rsidTr="0020119C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3. 20 - 39 Years (51.70%)</w:t>
            </w:r>
          </w:p>
        </w:tc>
        <w:tc>
          <w:tcPr>
            <w:tcW w:w="0" w:type="auto"/>
            <w:vMerge/>
            <w:shd w:val="clear" w:color="auto" w:fill="E3E3E3"/>
            <w:vAlign w:val="center"/>
            <w:hideMark/>
          </w:tcPr>
          <w:p w:rsidR="0020119C" w:rsidRPr="0020119C" w:rsidRDefault="0020119C" w:rsidP="0020119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20119C" w:rsidRPr="0020119C" w:rsidTr="0020119C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4. 40 - 59 Years (20.82%)</w:t>
            </w:r>
          </w:p>
        </w:tc>
        <w:tc>
          <w:tcPr>
            <w:tcW w:w="0" w:type="auto"/>
            <w:vMerge/>
            <w:shd w:val="clear" w:color="auto" w:fill="E3E3E3"/>
            <w:vAlign w:val="center"/>
            <w:hideMark/>
          </w:tcPr>
          <w:p w:rsidR="0020119C" w:rsidRPr="0020119C" w:rsidRDefault="0020119C" w:rsidP="0020119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20119C" w:rsidRPr="0020119C" w:rsidTr="0020119C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5. 60+ Years (16.11%)</w:t>
            </w:r>
          </w:p>
        </w:tc>
        <w:tc>
          <w:tcPr>
            <w:tcW w:w="0" w:type="auto"/>
            <w:vMerge/>
            <w:shd w:val="clear" w:color="auto" w:fill="E3E3E3"/>
            <w:vAlign w:val="center"/>
            <w:hideMark/>
          </w:tcPr>
          <w:p w:rsidR="0020119C" w:rsidRPr="0020119C" w:rsidRDefault="0020119C" w:rsidP="0020119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20119C" w:rsidRPr="0020119C" w:rsidTr="0020119C">
        <w:trPr>
          <w:trHeight w:val="375"/>
          <w:tblCellSpacing w:w="0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Family Statistics (%)</w:t>
            </w:r>
          </w:p>
        </w:tc>
      </w:tr>
      <w:tr w:rsidR="0020119C" w:rsidRPr="0020119C" w:rsidTr="0020119C">
        <w:trPr>
          <w:tblCellSpacing w:w="0" w:type="dxa"/>
        </w:trPr>
        <w:tc>
          <w:tcPr>
            <w:tcW w:w="5220" w:type="dxa"/>
            <w:shd w:val="clear" w:color="auto" w:fill="FFFFFF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1. Married in a Registered Marriage (27.24%)</w:t>
            </w:r>
          </w:p>
        </w:tc>
        <w:tc>
          <w:tcPr>
            <w:tcW w:w="0" w:type="auto"/>
            <w:vMerge w:val="restart"/>
            <w:shd w:val="clear" w:color="auto" w:fill="FFFFFF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7"/>
                <w:szCs w:val="17"/>
                <w:lang w:eastAsia="en-AU"/>
              </w:rPr>
              <w:drawing>
                <wp:inline distT="0" distB="0" distL="0" distR="0">
                  <wp:extent cx="1426845" cy="1189355"/>
                  <wp:effectExtent l="0" t="0" r="1905" b="0"/>
                  <wp:docPr id="4" name="Picture 4" descr="http://chart.apis.google.com/chart?cht=bvg&amp;chs=150x125&amp;chd=t:27.2,16.2,56.5&amp;chbh=15&amp;chf=bg,s,FFFFFF&amp;chxt=y,x&amp;chxl=0:|0|20|40|60|80|100|1:|1|2|3|4|5&amp;chtt=Family%20Statistics%20(%25)&amp;chts=000000,12&amp;chco=00FF00|0000FF|FF0000|99FFFF|FF99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chart.apis.google.com/chart?cht=bvg&amp;chs=150x125&amp;chd=t:27.2,16.2,56.5&amp;chbh=15&amp;chf=bg,s,FFFFFF&amp;chxt=y,x&amp;chxl=0:|0|20|40|60|80|100|1:|1|2|3|4|5&amp;chtt=Family%20Statistics%20(%25)&amp;chts=000000,12&amp;chco=00FF00|0000FF|FF0000|99FFFF|FF99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845" cy="1189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119C" w:rsidRPr="0020119C" w:rsidTr="0020119C">
        <w:trPr>
          <w:tblCellSpacing w:w="0" w:type="dxa"/>
        </w:trPr>
        <w:tc>
          <w:tcPr>
            <w:tcW w:w="5220" w:type="dxa"/>
            <w:shd w:val="clear" w:color="auto" w:fill="FFFFFF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2. Married in a De Facto Marriage (16.22%)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0119C" w:rsidRPr="0020119C" w:rsidRDefault="0020119C" w:rsidP="0020119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20119C" w:rsidRPr="0020119C" w:rsidTr="0020119C">
        <w:trPr>
          <w:tblCellSpacing w:w="0" w:type="dxa"/>
        </w:trPr>
        <w:tc>
          <w:tcPr>
            <w:tcW w:w="5220" w:type="dxa"/>
            <w:shd w:val="clear" w:color="auto" w:fill="FFFFFF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3. Not Married (56.54%)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0119C" w:rsidRPr="0020119C" w:rsidRDefault="0020119C" w:rsidP="0020119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20119C" w:rsidRPr="0020119C" w:rsidTr="0020119C">
        <w:trPr>
          <w:trHeight w:val="375"/>
          <w:tblCellSpacing w:w="0" w:type="dxa"/>
        </w:trPr>
        <w:tc>
          <w:tcPr>
            <w:tcW w:w="0" w:type="auto"/>
            <w:gridSpan w:val="2"/>
            <w:shd w:val="clear" w:color="auto" w:fill="E3E3E3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Religion Statistics (%)</w:t>
            </w:r>
          </w:p>
        </w:tc>
      </w:tr>
      <w:tr w:rsidR="0020119C" w:rsidRPr="0020119C" w:rsidTr="0020119C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1. Christianity (38.00%)</w:t>
            </w:r>
          </w:p>
        </w:tc>
        <w:tc>
          <w:tcPr>
            <w:tcW w:w="0" w:type="auto"/>
            <w:vMerge w:val="restart"/>
            <w:shd w:val="clear" w:color="auto" w:fill="E3E3E3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7"/>
                <w:szCs w:val="17"/>
                <w:lang w:eastAsia="en-AU"/>
              </w:rPr>
              <w:drawing>
                <wp:inline distT="0" distB="0" distL="0" distR="0">
                  <wp:extent cx="1426845" cy="1189355"/>
                  <wp:effectExtent l="0" t="0" r="1905" b="0"/>
                  <wp:docPr id="3" name="Picture 3" descr="http://chart.apis.google.com/chart?cht=bvg&amp;chs=150x125&amp;chd=t:76,17.6,4.8,2.4,1.6,1&amp;chbh=15&amp;chf=bg,s,E3E3E3&amp;chxt=y,x&amp;chxl=0:|0|10|20|30|40|50|1:|1|2|3|4|5&amp;chtt=Religion%20Statistics%20(%25)&amp;chts=000000,12&amp;chco=00FF00|0000FF|FF0000|99FFFF|FF99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hart.apis.google.com/chart?cht=bvg&amp;chs=150x125&amp;chd=t:76,17.6,4.8,2.4,1.6,1&amp;chbh=15&amp;chf=bg,s,E3E3E3&amp;chxt=y,x&amp;chxl=0:|0|10|20|30|40|50|1:|1|2|3|4|5&amp;chtt=Religion%20Statistics%20(%25)&amp;chts=000000,12&amp;chco=00FF00|0000FF|FF0000|99FFFF|FF99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845" cy="1189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119C" w:rsidRPr="0020119C" w:rsidTr="0020119C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2. Others or no religion (8.80%)</w:t>
            </w:r>
          </w:p>
        </w:tc>
        <w:tc>
          <w:tcPr>
            <w:tcW w:w="0" w:type="auto"/>
            <w:vMerge/>
            <w:shd w:val="clear" w:color="auto" w:fill="E3E3E3"/>
            <w:vAlign w:val="center"/>
            <w:hideMark/>
          </w:tcPr>
          <w:p w:rsidR="0020119C" w:rsidRPr="0020119C" w:rsidRDefault="0020119C" w:rsidP="0020119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20119C" w:rsidRPr="0020119C" w:rsidTr="0020119C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3. Buddhism (2.40%)</w:t>
            </w:r>
          </w:p>
        </w:tc>
        <w:tc>
          <w:tcPr>
            <w:tcW w:w="0" w:type="auto"/>
            <w:vMerge/>
            <w:shd w:val="clear" w:color="auto" w:fill="E3E3E3"/>
            <w:vAlign w:val="center"/>
            <w:hideMark/>
          </w:tcPr>
          <w:p w:rsidR="0020119C" w:rsidRPr="0020119C" w:rsidRDefault="0020119C" w:rsidP="0020119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20119C" w:rsidRPr="0020119C" w:rsidTr="0020119C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4. Islam (1.19%)</w:t>
            </w:r>
          </w:p>
        </w:tc>
        <w:tc>
          <w:tcPr>
            <w:tcW w:w="0" w:type="auto"/>
            <w:vMerge/>
            <w:shd w:val="clear" w:color="auto" w:fill="E3E3E3"/>
            <w:vAlign w:val="center"/>
            <w:hideMark/>
          </w:tcPr>
          <w:p w:rsidR="0020119C" w:rsidRPr="0020119C" w:rsidRDefault="0020119C" w:rsidP="0020119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20119C" w:rsidRPr="0020119C" w:rsidTr="0020119C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5. Judaism (0.80%)</w:t>
            </w:r>
          </w:p>
        </w:tc>
        <w:tc>
          <w:tcPr>
            <w:tcW w:w="0" w:type="auto"/>
            <w:vMerge/>
            <w:shd w:val="clear" w:color="auto" w:fill="E3E3E3"/>
            <w:vAlign w:val="center"/>
            <w:hideMark/>
          </w:tcPr>
          <w:p w:rsidR="0020119C" w:rsidRPr="0020119C" w:rsidRDefault="0020119C" w:rsidP="0020119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20119C" w:rsidRPr="0020119C" w:rsidTr="0020119C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6. Hinduism (0.45%)</w:t>
            </w:r>
          </w:p>
        </w:tc>
        <w:tc>
          <w:tcPr>
            <w:tcW w:w="0" w:type="auto"/>
            <w:vMerge/>
            <w:shd w:val="clear" w:color="auto" w:fill="E3E3E3"/>
            <w:vAlign w:val="center"/>
            <w:hideMark/>
          </w:tcPr>
          <w:p w:rsidR="0020119C" w:rsidRPr="0020119C" w:rsidRDefault="0020119C" w:rsidP="0020119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20119C" w:rsidRPr="0020119C" w:rsidTr="0020119C">
        <w:trPr>
          <w:trHeight w:val="375"/>
          <w:tblCellSpacing w:w="0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Highest Year of School Completed (%)</w:t>
            </w:r>
          </w:p>
        </w:tc>
      </w:tr>
      <w:tr w:rsidR="0020119C" w:rsidRPr="0020119C" w:rsidTr="0020119C">
        <w:trPr>
          <w:tblCellSpacing w:w="0" w:type="dxa"/>
        </w:trPr>
        <w:tc>
          <w:tcPr>
            <w:tcW w:w="5220" w:type="dxa"/>
            <w:shd w:val="clear" w:color="auto" w:fill="FFFFFF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1. Year 12 or equivalent (85.32%)</w:t>
            </w:r>
          </w:p>
        </w:tc>
        <w:tc>
          <w:tcPr>
            <w:tcW w:w="0" w:type="auto"/>
            <w:vMerge w:val="restart"/>
            <w:shd w:val="clear" w:color="auto" w:fill="FFFFFF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20119C" w:rsidRPr="0020119C" w:rsidTr="0020119C">
        <w:trPr>
          <w:tblCellSpacing w:w="0" w:type="dxa"/>
        </w:trPr>
        <w:tc>
          <w:tcPr>
            <w:tcW w:w="5220" w:type="dxa"/>
            <w:shd w:val="clear" w:color="auto" w:fill="FFFFFF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2. Year 11 or equivalent (5.77%)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0119C" w:rsidRPr="0020119C" w:rsidRDefault="0020119C" w:rsidP="0020119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20119C" w:rsidRPr="0020119C" w:rsidTr="0020119C">
        <w:trPr>
          <w:tblCellSpacing w:w="0" w:type="dxa"/>
        </w:trPr>
        <w:tc>
          <w:tcPr>
            <w:tcW w:w="5220" w:type="dxa"/>
            <w:shd w:val="clear" w:color="auto" w:fill="FFFFFF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3. Year 10 or equivalent (3.94%)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0119C" w:rsidRPr="0020119C" w:rsidRDefault="0020119C" w:rsidP="0020119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20119C" w:rsidRPr="0020119C" w:rsidTr="0020119C">
        <w:trPr>
          <w:tblCellSpacing w:w="0" w:type="dxa"/>
        </w:trPr>
        <w:tc>
          <w:tcPr>
            <w:tcW w:w="5220" w:type="dxa"/>
            <w:shd w:val="clear" w:color="auto" w:fill="FFFFFF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4. Year 9 or equivalent (1.33%)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0119C" w:rsidRPr="0020119C" w:rsidRDefault="0020119C" w:rsidP="0020119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20119C" w:rsidRPr="0020119C" w:rsidTr="0020119C">
        <w:trPr>
          <w:tblCellSpacing w:w="0" w:type="dxa"/>
        </w:trPr>
        <w:tc>
          <w:tcPr>
            <w:tcW w:w="5220" w:type="dxa"/>
            <w:shd w:val="clear" w:color="auto" w:fill="FFFFFF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5. Year 8 or below (3.20%)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0119C" w:rsidRPr="0020119C" w:rsidRDefault="0020119C" w:rsidP="0020119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20119C" w:rsidRPr="0020119C" w:rsidTr="0020119C">
        <w:trPr>
          <w:tblCellSpacing w:w="0" w:type="dxa"/>
        </w:trPr>
        <w:tc>
          <w:tcPr>
            <w:tcW w:w="5220" w:type="dxa"/>
            <w:shd w:val="clear" w:color="auto" w:fill="FFFFFF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6. Did not go to school (0.44%)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0119C" w:rsidRPr="0020119C" w:rsidRDefault="0020119C" w:rsidP="0020119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20119C" w:rsidRPr="0020119C" w:rsidTr="0020119C">
        <w:trPr>
          <w:trHeight w:val="375"/>
          <w:tblCellSpacing w:w="0" w:type="dxa"/>
        </w:trPr>
        <w:tc>
          <w:tcPr>
            <w:tcW w:w="0" w:type="auto"/>
            <w:gridSpan w:val="2"/>
            <w:shd w:val="clear" w:color="auto" w:fill="E3E3E3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20119C" w:rsidRDefault="0020119C" w:rsidP="002011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</w:p>
          <w:p w:rsidR="0020119C" w:rsidRDefault="0020119C" w:rsidP="002011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</w:p>
          <w:p w:rsidR="0020119C" w:rsidRPr="0020119C" w:rsidRDefault="0020119C" w:rsidP="002011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bookmarkStart w:id="0" w:name="_GoBack"/>
            <w:bookmarkEnd w:id="0"/>
            <w:r w:rsidRPr="0020119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lastRenderedPageBreak/>
              <w:t>Nature of Property Occupancy</w:t>
            </w:r>
          </w:p>
        </w:tc>
      </w:tr>
      <w:tr w:rsidR="0020119C" w:rsidRPr="0020119C" w:rsidTr="0020119C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lastRenderedPageBreak/>
              <w:t>1. Rented (52.34%)</w:t>
            </w:r>
          </w:p>
        </w:tc>
        <w:tc>
          <w:tcPr>
            <w:tcW w:w="0" w:type="auto"/>
            <w:vMerge w:val="restart"/>
            <w:shd w:val="clear" w:color="auto" w:fill="E3E3E3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7"/>
                <w:szCs w:val="17"/>
                <w:lang w:eastAsia="en-AU"/>
              </w:rPr>
              <w:drawing>
                <wp:inline distT="0" distB="0" distL="0" distR="0">
                  <wp:extent cx="1426845" cy="1189355"/>
                  <wp:effectExtent l="0" t="0" r="1905" b="0"/>
                  <wp:docPr id="2" name="Picture 2" descr="http://chart.apis.google.com/chart?cht=bvg&amp;chs=150x125&amp;chd=t:52.3,28,17.3,1.8,0.5&amp;chbh=15&amp;chf=bg,s,E3E3E3&amp;chxt=y,x&amp;chxl=0:|0|20|40|60|80|100|1:|1|2|3|4|5&amp;chtt=Nature%20of%20Property%20Occupancy&amp;chts=000000,12&amp;chco=00FF00|0000FF|FF0000|99FFFF|FF99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chart.apis.google.com/chart?cht=bvg&amp;chs=150x125&amp;chd=t:52.3,28,17.3,1.8,0.5&amp;chbh=15&amp;chf=bg,s,E3E3E3&amp;chxt=y,x&amp;chxl=0:|0|20|40|60|80|100|1:|1|2|3|4|5&amp;chtt=Nature%20of%20Property%20Occupancy&amp;chts=000000,12&amp;chco=00FF00|0000FF|FF0000|99FFFF|FF99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845" cy="1189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119C" w:rsidRPr="0020119C" w:rsidTr="0020119C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2. Owned outright (28.02%)</w:t>
            </w:r>
          </w:p>
        </w:tc>
        <w:tc>
          <w:tcPr>
            <w:tcW w:w="0" w:type="auto"/>
            <w:vMerge/>
            <w:shd w:val="clear" w:color="auto" w:fill="E3E3E3"/>
            <w:vAlign w:val="center"/>
            <w:hideMark/>
          </w:tcPr>
          <w:p w:rsidR="0020119C" w:rsidRPr="0020119C" w:rsidRDefault="0020119C" w:rsidP="0020119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20119C" w:rsidRPr="0020119C" w:rsidTr="0020119C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3. Owned with a mortgage (17.30%)</w:t>
            </w:r>
          </w:p>
        </w:tc>
        <w:tc>
          <w:tcPr>
            <w:tcW w:w="0" w:type="auto"/>
            <w:vMerge/>
            <w:shd w:val="clear" w:color="auto" w:fill="E3E3E3"/>
            <w:vAlign w:val="center"/>
            <w:hideMark/>
          </w:tcPr>
          <w:p w:rsidR="0020119C" w:rsidRPr="0020119C" w:rsidRDefault="0020119C" w:rsidP="0020119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20119C" w:rsidRPr="0020119C" w:rsidTr="0020119C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4. Not stated (1.81%)</w:t>
            </w:r>
          </w:p>
        </w:tc>
        <w:tc>
          <w:tcPr>
            <w:tcW w:w="0" w:type="auto"/>
            <w:vMerge/>
            <w:shd w:val="clear" w:color="auto" w:fill="E3E3E3"/>
            <w:vAlign w:val="center"/>
            <w:hideMark/>
          </w:tcPr>
          <w:p w:rsidR="0020119C" w:rsidRPr="0020119C" w:rsidRDefault="0020119C" w:rsidP="0020119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20119C" w:rsidRPr="0020119C" w:rsidTr="0020119C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5. Other tenure type (0.53%)</w:t>
            </w:r>
          </w:p>
        </w:tc>
        <w:tc>
          <w:tcPr>
            <w:tcW w:w="0" w:type="auto"/>
            <w:vMerge/>
            <w:shd w:val="clear" w:color="auto" w:fill="E3E3E3"/>
            <w:vAlign w:val="center"/>
            <w:hideMark/>
          </w:tcPr>
          <w:p w:rsidR="0020119C" w:rsidRPr="0020119C" w:rsidRDefault="0020119C" w:rsidP="0020119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20119C" w:rsidRPr="0020119C" w:rsidTr="0020119C">
        <w:trPr>
          <w:trHeight w:val="375"/>
          <w:tblCellSpacing w:w="0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Type of Dwelling (%)</w:t>
            </w:r>
          </w:p>
        </w:tc>
      </w:tr>
      <w:tr w:rsidR="0020119C" w:rsidRPr="0020119C" w:rsidTr="0020119C">
        <w:trPr>
          <w:tblCellSpacing w:w="0" w:type="dxa"/>
        </w:trPr>
        <w:tc>
          <w:tcPr>
            <w:tcW w:w="5220" w:type="dxa"/>
            <w:shd w:val="clear" w:color="auto" w:fill="FFFFFF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1. Occupied Semi-detached, terrace house or townhouse (65.76%)</w:t>
            </w:r>
          </w:p>
        </w:tc>
        <w:tc>
          <w:tcPr>
            <w:tcW w:w="0" w:type="auto"/>
            <w:vMerge w:val="restart"/>
            <w:shd w:val="clear" w:color="auto" w:fill="FFFFFF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7"/>
                <w:szCs w:val="17"/>
                <w:lang w:eastAsia="en-AU"/>
              </w:rPr>
              <w:drawing>
                <wp:inline distT="0" distB="0" distL="0" distR="0">
                  <wp:extent cx="1426845" cy="1189355"/>
                  <wp:effectExtent l="0" t="0" r="1905" b="0"/>
                  <wp:docPr id="1" name="Picture 1" descr="http://chart.apis.google.com/chart?cht=bvg&amp;chs=150x125&amp;chd=t:65.8,18,9.3,5.8,1.1&amp;chbh=15&amp;chf=bg,s,FFFFFF&amp;chxt=y,x&amp;chxl=0:|0|20|40|60|80|100|1:|1|2|3|4|5&amp;chtt=Type%20of%20Dwelling%20(%25)&amp;chts=000000,12&amp;chco=00FF00|0000FF|FF0000|99FFFF|FF99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chart.apis.google.com/chart?cht=bvg&amp;chs=150x125&amp;chd=t:65.8,18,9.3,5.8,1.1&amp;chbh=15&amp;chf=bg,s,FFFFFF&amp;chxt=y,x&amp;chxl=0:|0|20|40|60|80|100|1:|1|2|3|4|5&amp;chtt=Type%20of%20Dwelling%20(%25)&amp;chts=000000,12&amp;chco=00FF00|0000FF|FF0000|99FFFF|FF99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845" cy="1189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119C" w:rsidRPr="0020119C" w:rsidTr="0020119C">
        <w:trPr>
          <w:tblCellSpacing w:w="0" w:type="dxa"/>
        </w:trPr>
        <w:tc>
          <w:tcPr>
            <w:tcW w:w="5220" w:type="dxa"/>
            <w:shd w:val="clear" w:color="auto" w:fill="FFFFFF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2. Occupied Flat, unit or apartment (17.99%)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0119C" w:rsidRPr="0020119C" w:rsidRDefault="0020119C" w:rsidP="0020119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20119C" w:rsidRPr="0020119C" w:rsidTr="0020119C">
        <w:trPr>
          <w:tblCellSpacing w:w="0" w:type="dxa"/>
        </w:trPr>
        <w:tc>
          <w:tcPr>
            <w:tcW w:w="5220" w:type="dxa"/>
            <w:shd w:val="clear" w:color="auto" w:fill="FFFFFF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3. Unoccupied private dwellings (9.32%)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0119C" w:rsidRPr="0020119C" w:rsidRDefault="0020119C" w:rsidP="0020119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20119C" w:rsidRPr="0020119C" w:rsidTr="0020119C">
        <w:trPr>
          <w:tblCellSpacing w:w="0" w:type="dxa"/>
        </w:trPr>
        <w:tc>
          <w:tcPr>
            <w:tcW w:w="5220" w:type="dxa"/>
            <w:shd w:val="clear" w:color="auto" w:fill="FFFFFF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4. Occupied Separate house (5.79%)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0119C" w:rsidRPr="0020119C" w:rsidRDefault="0020119C" w:rsidP="0020119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20119C" w:rsidRPr="0020119C" w:rsidTr="0020119C">
        <w:trPr>
          <w:tblCellSpacing w:w="0" w:type="dxa"/>
        </w:trPr>
        <w:tc>
          <w:tcPr>
            <w:tcW w:w="5220" w:type="dxa"/>
            <w:shd w:val="clear" w:color="auto" w:fill="FFFFFF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5. Occupied Other dwelling incl. not stated (1.13%)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0119C" w:rsidRPr="0020119C" w:rsidRDefault="0020119C" w:rsidP="0020119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20119C" w:rsidRPr="0020119C" w:rsidTr="0020119C">
        <w:trPr>
          <w:trHeight w:val="375"/>
          <w:tblCellSpacing w:w="0" w:type="dxa"/>
        </w:trPr>
        <w:tc>
          <w:tcPr>
            <w:tcW w:w="0" w:type="auto"/>
            <w:gridSpan w:val="2"/>
            <w:shd w:val="clear" w:color="auto" w:fill="E3E3E3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Income ($/weekly)</w:t>
            </w:r>
          </w:p>
        </w:tc>
      </w:tr>
      <w:tr w:rsidR="0020119C" w:rsidRPr="0020119C" w:rsidTr="0020119C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Suburb's median total personal income</w:t>
            </w:r>
          </w:p>
        </w:tc>
        <w:tc>
          <w:tcPr>
            <w:tcW w:w="0" w:type="auto"/>
            <w:shd w:val="clear" w:color="auto" w:fill="E3E3E3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$848</w:t>
            </w:r>
          </w:p>
        </w:tc>
      </w:tr>
      <w:tr w:rsidR="0020119C" w:rsidRPr="0020119C" w:rsidTr="0020119C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State's median total personal income</w:t>
            </w:r>
          </w:p>
        </w:tc>
        <w:tc>
          <w:tcPr>
            <w:tcW w:w="0" w:type="auto"/>
            <w:shd w:val="clear" w:color="auto" w:fill="E3E3E3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$561</w:t>
            </w:r>
          </w:p>
        </w:tc>
      </w:tr>
      <w:tr w:rsidR="0020119C" w:rsidRPr="0020119C" w:rsidTr="0020119C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Suburb's median total family income</w:t>
            </w:r>
          </w:p>
        </w:tc>
        <w:tc>
          <w:tcPr>
            <w:tcW w:w="0" w:type="auto"/>
            <w:shd w:val="clear" w:color="auto" w:fill="E3E3E3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$2,262</w:t>
            </w:r>
          </w:p>
        </w:tc>
      </w:tr>
      <w:tr w:rsidR="0020119C" w:rsidRPr="0020119C" w:rsidTr="0020119C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State's median total family income</w:t>
            </w:r>
          </w:p>
        </w:tc>
        <w:tc>
          <w:tcPr>
            <w:tcW w:w="0" w:type="auto"/>
            <w:shd w:val="clear" w:color="auto" w:fill="E3E3E3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$1,460</w:t>
            </w:r>
          </w:p>
        </w:tc>
      </w:tr>
      <w:tr w:rsidR="0020119C" w:rsidRPr="0020119C" w:rsidTr="0020119C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Suburb's median total household income</w:t>
            </w:r>
          </w:p>
        </w:tc>
        <w:tc>
          <w:tcPr>
            <w:tcW w:w="0" w:type="auto"/>
            <w:shd w:val="clear" w:color="auto" w:fill="E3E3E3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$1,764</w:t>
            </w:r>
          </w:p>
        </w:tc>
      </w:tr>
      <w:tr w:rsidR="0020119C" w:rsidRPr="0020119C" w:rsidTr="0020119C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State's median total household income</w:t>
            </w:r>
          </w:p>
        </w:tc>
        <w:tc>
          <w:tcPr>
            <w:tcW w:w="0" w:type="auto"/>
            <w:shd w:val="clear" w:color="auto" w:fill="E3E3E3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$1,216</w:t>
            </w:r>
          </w:p>
        </w:tc>
      </w:tr>
      <w:tr w:rsidR="0020119C" w:rsidRPr="0020119C" w:rsidTr="0020119C">
        <w:trPr>
          <w:trHeight w:val="375"/>
          <w:tblCellSpacing w:w="0" w:type="dxa"/>
        </w:trPr>
        <w:tc>
          <w:tcPr>
            <w:tcW w:w="0" w:type="auto"/>
            <w:shd w:val="clear" w:color="auto" w:fill="FFFFFF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Median Housing Loan Repayment ($/monthly)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$2,400</w:t>
            </w:r>
          </w:p>
        </w:tc>
      </w:tr>
      <w:tr w:rsidR="0020119C" w:rsidRPr="0020119C" w:rsidTr="0020119C">
        <w:trPr>
          <w:trHeight w:val="375"/>
          <w:tblCellSpacing w:w="0" w:type="dxa"/>
        </w:trPr>
        <w:tc>
          <w:tcPr>
            <w:tcW w:w="0" w:type="auto"/>
            <w:gridSpan w:val="2"/>
            <w:shd w:val="clear" w:color="auto" w:fill="E3E3E3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Median rent ($/weekly)</w:t>
            </w:r>
          </w:p>
        </w:tc>
      </w:tr>
      <w:tr w:rsidR="0020119C" w:rsidRPr="0020119C" w:rsidTr="0020119C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Suburb's median rent</w:t>
            </w:r>
          </w:p>
        </w:tc>
        <w:tc>
          <w:tcPr>
            <w:tcW w:w="0" w:type="auto"/>
            <w:shd w:val="clear" w:color="auto" w:fill="E3E3E3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$418</w:t>
            </w:r>
          </w:p>
        </w:tc>
      </w:tr>
      <w:tr w:rsidR="0020119C" w:rsidRPr="0020119C" w:rsidTr="0020119C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State's median rent</w:t>
            </w:r>
          </w:p>
        </w:tc>
        <w:tc>
          <w:tcPr>
            <w:tcW w:w="0" w:type="auto"/>
            <w:shd w:val="clear" w:color="auto" w:fill="E3E3E3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20119C" w:rsidRPr="0020119C" w:rsidRDefault="0020119C" w:rsidP="0020119C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20119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$277</w:t>
            </w:r>
          </w:p>
        </w:tc>
      </w:tr>
    </w:tbl>
    <w:p w:rsidR="004B200D" w:rsidRDefault="004B200D"/>
    <w:sectPr w:rsidR="004B20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19C"/>
    <w:rsid w:val="0020119C"/>
    <w:rsid w:val="004B2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1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1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1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1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5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 SPATZ</dc:creator>
  <cp:lastModifiedBy>Tamar SPATZ</cp:lastModifiedBy>
  <cp:revision>1</cp:revision>
  <dcterms:created xsi:type="dcterms:W3CDTF">2013-10-07T21:38:00Z</dcterms:created>
  <dcterms:modified xsi:type="dcterms:W3CDTF">2013-10-07T21:41:00Z</dcterms:modified>
</cp:coreProperties>
</file>